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35F" w:rsidRDefault="00070968" w:rsidP="00EA742F">
      <w:pPr>
        <w:jc w:val="center"/>
        <w:rPr>
          <w:rFonts w:ascii="Arial" w:hAnsi="Arial" w:cs="Arial"/>
        </w:rPr>
      </w:pPr>
      <w:r>
        <w:rPr>
          <w:rFonts w:ascii="Arial" w:hAnsi="Arial" w:cs="Arial"/>
        </w:rPr>
        <w:t xml:space="preserve">Revision of Section 107 - </w:t>
      </w:r>
      <w:r w:rsidR="00EA742F">
        <w:rPr>
          <w:rFonts w:ascii="Arial" w:hAnsi="Arial" w:cs="Arial"/>
        </w:rPr>
        <w:t>Owner Provided Insurance</w:t>
      </w:r>
    </w:p>
    <w:p w:rsidR="00522428" w:rsidRDefault="00522428" w:rsidP="00EA742F">
      <w:pPr>
        <w:jc w:val="center"/>
        <w:rPr>
          <w:rFonts w:ascii="Arial" w:hAnsi="Arial" w:cs="Arial"/>
        </w:rPr>
      </w:pPr>
      <w:r>
        <w:rPr>
          <w:rFonts w:ascii="Arial" w:hAnsi="Arial" w:cs="Arial"/>
        </w:rPr>
        <w:t>Example Spec</w:t>
      </w:r>
    </w:p>
    <w:p w:rsidR="00EA742F" w:rsidRDefault="00EA742F" w:rsidP="00EA742F">
      <w:pPr>
        <w:jc w:val="center"/>
        <w:rPr>
          <w:rFonts w:ascii="Arial" w:hAnsi="Arial" w:cs="Arial"/>
        </w:rPr>
      </w:pPr>
    </w:p>
    <w:p w:rsidR="00070968" w:rsidRDefault="00070968" w:rsidP="00522428">
      <w:pPr>
        <w:ind w:left="360" w:hanging="360"/>
        <w:rPr>
          <w:rFonts w:ascii="Arial" w:hAnsi="Arial" w:cs="Arial"/>
        </w:rPr>
      </w:pPr>
      <w:r>
        <w:rPr>
          <w:rFonts w:ascii="Arial" w:hAnsi="Arial" w:cs="Arial"/>
        </w:rPr>
        <w:t>Section of the Standard Specifications is hereby revised as follows:</w:t>
      </w:r>
    </w:p>
    <w:p w:rsidR="00070968" w:rsidRDefault="00070968" w:rsidP="00522428">
      <w:pPr>
        <w:ind w:left="360" w:hanging="360"/>
        <w:rPr>
          <w:rFonts w:ascii="Arial" w:hAnsi="Arial" w:cs="Arial"/>
        </w:rPr>
      </w:pPr>
      <w:r>
        <w:rPr>
          <w:rFonts w:ascii="Arial" w:hAnsi="Arial" w:cs="Arial"/>
        </w:rPr>
        <w:t>In Subsection 107.15, add (</w:t>
      </w:r>
      <w:proofErr w:type="spellStart"/>
      <w:r>
        <w:rPr>
          <w:rFonts w:ascii="Arial" w:hAnsi="Arial" w:cs="Arial"/>
        </w:rPr>
        <w:t>i</w:t>
      </w:r>
      <w:proofErr w:type="spellEnd"/>
      <w:r>
        <w:rPr>
          <w:rFonts w:ascii="Arial" w:hAnsi="Arial" w:cs="Arial"/>
        </w:rPr>
        <w:t>) as follows:</w:t>
      </w:r>
    </w:p>
    <w:p w:rsidR="00070968" w:rsidRDefault="00070968" w:rsidP="00522428">
      <w:pPr>
        <w:ind w:left="360" w:hanging="36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t xml:space="preserve">Owner Provided Insurance.  </w:t>
      </w:r>
      <w:r w:rsidR="00094E7A">
        <w:rPr>
          <w:rFonts w:ascii="Arial" w:hAnsi="Arial" w:cs="Arial"/>
        </w:rPr>
        <w:t>CDOT has procured Builders Risk insurance and Contractors Pollution Liability insurance for this project.  The terms of the insurance are listed below.  The policies are available for review in the Resident Engineers office.  A Project Insurance Manual (PIM) that outlines the claim procedure is available for review in the Resident Engineers office and copies will be given to the successful Contractor and Subcontractors.</w:t>
      </w:r>
      <w:r w:rsidR="00143AD2">
        <w:rPr>
          <w:rFonts w:ascii="Arial" w:hAnsi="Arial" w:cs="Arial"/>
        </w:rPr>
        <w:t xml:space="preserve">  </w:t>
      </w:r>
    </w:p>
    <w:p w:rsidR="00070968" w:rsidRDefault="00070968" w:rsidP="00522428">
      <w:pPr>
        <w:ind w:left="360" w:hanging="360"/>
        <w:rPr>
          <w:rFonts w:ascii="Arial" w:hAnsi="Arial" w:cs="Arial"/>
        </w:rPr>
      </w:pPr>
    </w:p>
    <w:p w:rsidR="00522428" w:rsidRDefault="00522428" w:rsidP="00070968">
      <w:pPr>
        <w:ind w:left="360"/>
        <w:rPr>
          <w:rFonts w:ascii="Arial" w:hAnsi="Arial" w:cs="Arial"/>
        </w:rPr>
      </w:pPr>
      <w:proofErr w:type="gramStart"/>
      <w:r>
        <w:rPr>
          <w:rFonts w:ascii="Arial" w:hAnsi="Arial" w:cs="Arial"/>
        </w:rPr>
        <w:t>Builders Risk Insurance.</w:t>
      </w:r>
      <w:proofErr w:type="gramEnd"/>
    </w:p>
    <w:p w:rsidR="00522428" w:rsidRDefault="00522428" w:rsidP="00522428">
      <w:pPr>
        <w:shd w:val="clear" w:color="auto" w:fill="FFFFFF"/>
        <w:spacing w:before="216" w:line="230" w:lineRule="exact"/>
        <w:ind w:left="720"/>
        <w:rPr>
          <w:rFonts w:ascii="Arial" w:hAnsi="Arial" w:cs="Arial"/>
          <w:color w:val="000000"/>
          <w:szCs w:val="24"/>
        </w:rPr>
      </w:pPr>
      <w:r>
        <w:rPr>
          <w:rFonts w:ascii="Arial" w:hAnsi="Arial" w:cs="Arial"/>
          <w:color w:val="000000"/>
          <w:szCs w:val="24"/>
        </w:rPr>
        <w:t xml:space="preserve">CDOT will procure, pay for, and maintain a builder’s risk insurance policy, including coverage for in-transit and off-site storage, to protect the interests of the Insured’s, including CDOT, Project Contractors and its subcontractors, against the risk of loss or damage to the Work during construction at the Project Site. Such policy will include a waiver of subrogation in favor of CDOT, CDOT’s Engineer, Construction Manager, Contractors, and subcontractors. </w:t>
      </w:r>
    </w:p>
    <w:p w:rsidR="00522428" w:rsidRDefault="00522428" w:rsidP="00522428">
      <w:pPr>
        <w:shd w:val="clear" w:color="auto" w:fill="FFFFFF"/>
        <w:spacing w:before="226" w:line="230" w:lineRule="exact"/>
        <w:ind w:left="720"/>
        <w:rPr>
          <w:rFonts w:ascii="Arial" w:hAnsi="Arial" w:cs="Arial"/>
          <w:color w:val="000000"/>
          <w:szCs w:val="24"/>
        </w:rPr>
      </w:pPr>
      <w:bookmarkStart w:id="0" w:name="_DV_M160"/>
      <w:bookmarkEnd w:id="0"/>
      <w:r>
        <w:rPr>
          <w:rFonts w:ascii="Arial" w:hAnsi="Arial" w:cs="Arial"/>
          <w:color w:val="000000"/>
          <w:szCs w:val="24"/>
        </w:rPr>
        <w:t>Coverage will include all materials, supplies and equipment that are intended for specific installation in the Project while such materials, supplies and equipment are located at the Project Site, in transit or while temporarily located away from the Project Site for the purpose of storage at the risk of one of the insured parties, as agreed upon by the CDOT in writing in advance of such transit or storage.</w:t>
      </w:r>
    </w:p>
    <w:p w:rsidR="00522428" w:rsidRDefault="00522428" w:rsidP="00522428">
      <w:pPr>
        <w:tabs>
          <w:tab w:val="left" w:pos="720"/>
          <w:tab w:val="right" w:pos="2070"/>
          <w:tab w:val="left" w:pos="2250"/>
        </w:tabs>
        <w:ind w:left="720" w:hanging="180"/>
        <w:rPr>
          <w:rFonts w:ascii="Arial" w:hAnsi="Arial" w:cs="Arial"/>
          <w:b/>
          <w:color w:val="000000"/>
          <w:szCs w:val="24"/>
        </w:rPr>
      </w:pPr>
    </w:p>
    <w:p w:rsidR="00522428" w:rsidRDefault="00522428" w:rsidP="00522428">
      <w:pPr>
        <w:tabs>
          <w:tab w:val="left" w:pos="1080"/>
          <w:tab w:val="right" w:pos="2070"/>
          <w:tab w:val="left" w:pos="2250"/>
        </w:tabs>
        <w:rPr>
          <w:rFonts w:ascii="Arial" w:hAnsi="Arial" w:cs="Arial"/>
          <w:color w:val="000000"/>
          <w:szCs w:val="24"/>
        </w:rPr>
      </w:pPr>
      <w:bookmarkStart w:id="1" w:name="_DV_M161"/>
      <w:bookmarkEnd w:id="1"/>
      <w:r>
        <w:rPr>
          <w:rFonts w:ascii="Arial" w:hAnsi="Arial" w:cs="Arial"/>
          <w:color w:val="000000"/>
          <w:szCs w:val="24"/>
        </w:rPr>
        <w:tab/>
        <w:t>POLICY COVERAGE FORM AND EXCLUSIONS [EXAMPLES]:</w:t>
      </w:r>
    </w:p>
    <w:p w:rsidR="00522428" w:rsidRDefault="00522428" w:rsidP="00522428">
      <w:pPr>
        <w:tabs>
          <w:tab w:val="left" w:pos="1080"/>
          <w:tab w:val="right" w:pos="2070"/>
          <w:tab w:val="left" w:pos="2250"/>
        </w:tabs>
        <w:ind w:left="1080" w:hanging="180"/>
        <w:rPr>
          <w:rFonts w:ascii="Arial" w:hAnsi="Arial" w:cs="Arial"/>
          <w:color w:val="000000"/>
          <w:szCs w:val="24"/>
        </w:rPr>
      </w:pPr>
    </w:p>
    <w:p w:rsidR="00522428" w:rsidRDefault="00522428" w:rsidP="00522428">
      <w:pPr>
        <w:tabs>
          <w:tab w:val="left" w:pos="1080"/>
        </w:tabs>
        <w:ind w:left="1080" w:hanging="180"/>
        <w:rPr>
          <w:rFonts w:ascii="Arial" w:hAnsi="Arial" w:cs="Arial"/>
          <w:color w:val="000000"/>
          <w:szCs w:val="24"/>
        </w:rPr>
      </w:pPr>
      <w:bookmarkStart w:id="2" w:name="_DV_M162"/>
      <w:bookmarkEnd w:id="2"/>
      <w:r>
        <w:rPr>
          <w:rFonts w:ascii="Arial" w:hAnsi="Arial" w:cs="Arial"/>
          <w:color w:val="000000"/>
          <w:szCs w:val="24"/>
        </w:rPr>
        <w:t>Commercial Inland Marine – Builders Risk Coverage Form</w:t>
      </w:r>
    </w:p>
    <w:p w:rsidR="00522428" w:rsidRDefault="00522428" w:rsidP="00522428">
      <w:pPr>
        <w:ind w:left="1440" w:hanging="180"/>
        <w:rPr>
          <w:rFonts w:ascii="Arial" w:hAnsi="Arial" w:cs="Arial"/>
          <w:color w:val="000000"/>
          <w:szCs w:val="24"/>
        </w:rPr>
      </w:pPr>
      <w:bookmarkStart w:id="3" w:name="_DV_M163"/>
      <w:bookmarkEnd w:id="3"/>
      <w:r>
        <w:rPr>
          <w:rFonts w:ascii="Arial" w:hAnsi="Arial" w:cs="Arial"/>
          <w:color w:val="000000"/>
          <w:szCs w:val="24"/>
        </w:rPr>
        <w:t>Endorsements:</w:t>
      </w:r>
    </w:p>
    <w:p w:rsidR="00522428" w:rsidRDefault="00522428" w:rsidP="00522428">
      <w:pPr>
        <w:pStyle w:val="Bullet"/>
        <w:tabs>
          <w:tab w:val="left" w:pos="3154"/>
          <w:tab w:val="left" w:pos="4500"/>
          <w:tab w:val="left" w:pos="5310"/>
        </w:tabs>
        <w:ind w:left="2160" w:hanging="180"/>
        <w:rPr>
          <w:rFonts w:ascii="Arial" w:hAnsi="Arial" w:cs="Arial"/>
          <w:color w:val="000000"/>
          <w:sz w:val="20"/>
          <w:szCs w:val="24"/>
        </w:rPr>
      </w:pPr>
      <w:bookmarkStart w:id="4" w:name="_DV_M164"/>
      <w:bookmarkEnd w:id="4"/>
      <w:r>
        <w:rPr>
          <w:rFonts w:ascii="Arial" w:hAnsi="Arial" w:cs="Arial"/>
          <w:color w:val="000000"/>
          <w:sz w:val="20"/>
          <w:szCs w:val="24"/>
        </w:rPr>
        <w:t>Extra Expense Endorsement</w:t>
      </w:r>
    </w:p>
    <w:p w:rsidR="00522428" w:rsidRDefault="00522428" w:rsidP="00522428">
      <w:pPr>
        <w:pStyle w:val="Bullet"/>
        <w:tabs>
          <w:tab w:val="left" w:pos="3154"/>
          <w:tab w:val="left" w:pos="4500"/>
          <w:tab w:val="left" w:pos="5310"/>
        </w:tabs>
        <w:ind w:left="2160" w:hanging="180"/>
        <w:rPr>
          <w:rFonts w:ascii="Arial" w:hAnsi="Arial" w:cs="Arial"/>
          <w:color w:val="000000"/>
          <w:sz w:val="20"/>
          <w:szCs w:val="24"/>
        </w:rPr>
      </w:pPr>
      <w:bookmarkStart w:id="5" w:name="_DV_M165"/>
      <w:bookmarkEnd w:id="5"/>
      <w:r>
        <w:rPr>
          <w:rFonts w:ascii="Arial" w:hAnsi="Arial" w:cs="Arial"/>
          <w:color w:val="000000"/>
          <w:sz w:val="20"/>
          <w:szCs w:val="24"/>
        </w:rPr>
        <w:t>Elite Property Enhancement: Builders Risk – sub limits apply</w:t>
      </w:r>
    </w:p>
    <w:p w:rsidR="00522428" w:rsidRDefault="00522428" w:rsidP="00522428">
      <w:pPr>
        <w:pStyle w:val="Bullet"/>
        <w:tabs>
          <w:tab w:val="left" w:pos="3154"/>
          <w:tab w:val="left" w:pos="4500"/>
          <w:tab w:val="left" w:pos="5310"/>
        </w:tabs>
        <w:ind w:left="2160" w:hanging="180"/>
        <w:rPr>
          <w:rFonts w:ascii="Arial" w:hAnsi="Arial" w:cs="Arial"/>
          <w:color w:val="000000"/>
          <w:sz w:val="20"/>
          <w:szCs w:val="24"/>
        </w:rPr>
      </w:pPr>
      <w:bookmarkStart w:id="6" w:name="_DV_M166"/>
      <w:bookmarkEnd w:id="6"/>
      <w:r>
        <w:rPr>
          <w:rFonts w:ascii="Arial" w:hAnsi="Arial" w:cs="Arial"/>
          <w:color w:val="000000"/>
          <w:sz w:val="20"/>
          <w:szCs w:val="24"/>
        </w:rPr>
        <w:t>Builders Risk Warranties</w:t>
      </w:r>
    </w:p>
    <w:p w:rsidR="00522428" w:rsidRDefault="00522428" w:rsidP="00522428">
      <w:pPr>
        <w:ind w:left="1440" w:hanging="180"/>
        <w:rPr>
          <w:rFonts w:ascii="Arial" w:hAnsi="Arial" w:cs="Arial"/>
          <w:color w:val="000000"/>
          <w:sz w:val="20"/>
          <w:szCs w:val="24"/>
        </w:rPr>
      </w:pPr>
      <w:bookmarkStart w:id="7" w:name="_DV_M167"/>
      <w:bookmarkEnd w:id="7"/>
      <w:r>
        <w:rPr>
          <w:rFonts w:ascii="Arial" w:hAnsi="Arial" w:cs="Arial"/>
          <w:color w:val="000000"/>
          <w:szCs w:val="24"/>
        </w:rPr>
        <w:t>Exclusions:</w:t>
      </w:r>
    </w:p>
    <w:p w:rsidR="00522428" w:rsidRDefault="00522428" w:rsidP="00522428">
      <w:pPr>
        <w:pStyle w:val="Bullet"/>
        <w:tabs>
          <w:tab w:val="left" w:pos="3154"/>
          <w:tab w:val="left" w:pos="4500"/>
          <w:tab w:val="left" w:pos="5310"/>
        </w:tabs>
        <w:ind w:left="2160" w:hanging="180"/>
        <w:rPr>
          <w:rFonts w:ascii="Arial" w:hAnsi="Arial" w:cs="Arial"/>
          <w:color w:val="000000"/>
          <w:sz w:val="20"/>
          <w:szCs w:val="24"/>
        </w:rPr>
      </w:pPr>
      <w:bookmarkStart w:id="8" w:name="_DV_M168"/>
      <w:bookmarkEnd w:id="8"/>
      <w:r>
        <w:rPr>
          <w:rFonts w:ascii="Arial" w:hAnsi="Arial" w:cs="Arial"/>
          <w:color w:val="000000"/>
          <w:sz w:val="20"/>
          <w:szCs w:val="24"/>
        </w:rPr>
        <w:t>Government Action</w:t>
      </w:r>
    </w:p>
    <w:p w:rsidR="00522428" w:rsidRDefault="00522428" w:rsidP="00522428">
      <w:pPr>
        <w:pStyle w:val="Bullet"/>
        <w:tabs>
          <w:tab w:val="left" w:pos="3154"/>
          <w:tab w:val="left" w:pos="4500"/>
          <w:tab w:val="left" w:pos="5310"/>
        </w:tabs>
        <w:ind w:left="2160" w:hanging="180"/>
        <w:rPr>
          <w:rFonts w:ascii="Arial" w:hAnsi="Arial" w:cs="Arial"/>
          <w:color w:val="000000"/>
          <w:sz w:val="20"/>
          <w:szCs w:val="24"/>
        </w:rPr>
      </w:pPr>
      <w:bookmarkStart w:id="9" w:name="_DV_M169"/>
      <w:bookmarkEnd w:id="9"/>
      <w:r>
        <w:rPr>
          <w:rFonts w:ascii="Arial" w:hAnsi="Arial" w:cs="Arial"/>
          <w:color w:val="000000"/>
          <w:sz w:val="20"/>
          <w:szCs w:val="24"/>
        </w:rPr>
        <w:t>Nuclear Hazard</w:t>
      </w:r>
    </w:p>
    <w:p w:rsidR="00522428" w:rsidRDefault="00522428" w:rsidP="00522428">
      <w:pPr>
        <w:pStyle w:val="Bullet"/>
        <w:tabs>
          <w:tab w:val="left" w:pos="3154"/>
          <w:tab w:val="left" w:pos="4500"/>
          <w:tab w:val="left" w:pos="5310"/>
        </w:tabs>
        <w:ind w:left="2160" w:hanging="180"/>
        <w:rPr>
          <w:rFonts w:ascii="Arial" w:hAnsi="Arial" w:cs="Arial"/>
          <w:color w:val="000000"/>
          <w:sz w:val="20"/>
          <w:szCs w:val="24"/>
        </w:rPr>
      </w:pPr>
      <w:bookmarkStart w:id="10" w:name="_DV_M170"/>
      <w:bookmarkEnd w:id="10"/>
      <w:r>
        <w:rPr>
          <w:rFonts w:ascii="Arial" w:hAnsi="Arial" w:cs="Arial"/>
          <w:color w:val="000000"/>
          <w:sz w:val="20"/>
          <w:szCs w:val="24"/>
        </w:rPr>
        <w:t>War and Military Action</w:t>
      </w:r>
    </w:p>
    <w:p w:rsidR="00522428" w:rsidRDefault="00522428" w:rsidP="00522428">
      <w:pPr>
        <w:pStyle w:val="Bullet"/>
        <w:tabs>
          <w:tab w:val="left" w:pos="3154"/>
          <w:tab w:val="left" w:pos="4500"/>
          <w:tab w:val="left" w:pos="5310"/>
        </w:tabs>
        <w:ind w:left="2160" w:hanging="180"/>
        <w:rPr>
          <w:rFonts w:ascii="Arial" w:hAnsi="Arial" w:cs="Arial"/>
          <w:color w:val="000000"/>
          <w:sz w:val="20"/>
          <w:szCs w:val="24"/>
        </w:rPr>
      </w:pPr>
      <w:bookmarkStart w:id="11" w:name="_DV_M171"/>
      <w:bookmarkEnd w:id="11"/>
      <w:r>
        <w:rPr>
          <w:rFonts w:ascii="Arial" w:hAnsi="Arial" w:cs="Arial"/>
          <w:color w:val="000000"/>
          <w:sz w:val="20"/>
          <w:szCs w:val="24"/>
        </w:rPr>
        <w:t>Ordinance or Law</w:t>
      </w:r>
    </w:p>
    <w:p w:rsidR="00522428" w:rsidRDefault="00522428" w:rsidP="00522428">
      <w:pPr>
        <w:pStyle w:val="Bullet"/>
        <w:tabs>
          <w:tab w:val="left" w:pos="3154"/>
          <w:tab w:val="left" w:pos="4500"/>
          <w:tab w:val="left" w:pos="5310"/>
        </w:tabs>
        <w:ind w:left="2160" w:hanging="180"/>
        <w:rPr>
          <w:rFonts w:ascii="Arial" w:hAnsi="Arial" w:cs="Arial"/>
          <w:color w:val="000000"/>
          <w:sz w:val="20"/>
          <w:szCs w:val="24"/>
        </w:rPr>
      </w:pPr>
      <w:bookmarkStart w:id="12" w:name="_DV_M172"/>
      <w:bookmarkEnd w:id="12"/>
      <w:r>
        <w:rPr>
          <w:rFonts w:ascii="Arial" w:hAnsi="Arial" w:cs="Arial"/>
          <w:color w:val="000000"/>
          <w:sz w:val="20"/>
          <w:szCs w:val="24"/>
        </w:rPr>
        <w:t>Water – modified or deleted by endorsement</w:t>
      </w:r>
    </w:p>
    <w:p w:rsidR="00522428" w:rsidRDefault="00522428" w:rsidP="00522428">
      <w:pPr>
        <w:pStyle w:val="Bullet"/>
        <w:tabs>
          <w:tab w:val="left" w:pos="3154"/>
          <w:tab w:val="left" w:pos="4500"/>
          <w:tab w:val="left" w:pos="5310"/>
        </w:tabs>
        <w:ind w:left="2160" w:hanging="180"/>
        <w:rPr>
          <w:rFonts w:ascii="Arial" w:hAnsi="Arial" w:cs="Arial"/>
          <w:color w:val="000000"/>
          <w:sz w:val="20"/>
          <w:szCs w:val="24"/>
        </w:rPr>
      </w:pPr>
      <w:bookmarkStart w:id="13" w:name="_DV_M173"/>
      <w:bookmarkEnd w:id="13"/>
      <w:r>
        <w:rPr>
          <w:rFonts w:ascii="Arial" w:hAnsi="Arial" w:cs="Arial"/>
          <w:color w:val="000000"/>
          <w:sz w:val="20"/>
          <w:szCs w:val="24"/>
        </w:rPr>
        <w:lastRenderedPageBreak/>
        <w:t>Earth Movement</w:t>
      </w:r>
    </w:p>
    <w:p w:rsidR="00522428" w:rsidRDefault="00522428" w:rsidP="00522428">
      <w:pPr>
        <w:pStyle w:val="Bullet"/>
        <w:tabs>
          <w:tab w:val="left" w:pos="3154"/>
          <w:tab w:val="left" w:pos="4500"/>
          <w:tab w:val="left" w:pos="5310"/>
        </w:tabs>
        <w:ind w:left="2160" w:hanging="180"/>
        <w:rPr>
          <w:rFonts w:ascii="Arial" w:hAnsi="Arial" w:cs="Arial"/>
          <w:color w:val="000000"/>
          <w:sz w:val="20"/>
          <w:szCs w:val="24"/>
        </w:rPr>
      </w:pPr>
      <w:bookmarkStart w:id="14" w:name="_DV_M174"/>
      <w:bookmarkEnd w:id="14"/>
      <w:r>
        <w:rPr>
          <w:rFonts w:ascii="Arial" w:hAnsi="Arial" w:cs="Arial"/>
          <w:color w:val="000000"/>
          <w:sz w:val="20"/>
          <w:szCs w:val="24"/>
        </w:rPr>
        <w:t>Mold Exclusion</w:t>
      </w:r>
    </w:p>
    <w:p w:rsidR="00522428" w:rsidRDefault="00522428" w:rsidP="00522428">
      <w:pPr>
        <w:pStyle w:val="Bullet"/>
        <w:tabs>
          <w:tab w:val="left" w:pos="3154"/>
          <w:tab w:val="left" w:pos="4500"/>
          <w:tab w:val="left" w:pos="5310"/>
        </w:tabs>
        <w:ind w:left="2160" w:hanging="180"/>
        <w:rPr>
          <w:rFonts w:ascii="Arial" w:hAnsi="Arial" w:cs="Arial"/>
          <w:color w:val="000000"/>
          <w:sz w:val="20"/>
          <w:szCs w:val="24"/>
        </w:rPr>
      </w:pPr>
      <w:bookmarkStart w:id="15" w:name="_DV_M175"/>
      <w:bookmarkEnd w:id="15"/>
      <w:r>
        <w:rPr>
          <w:rFonts w:ascii="Arial" w:hAnsi="Arial" w:cs="Arial"/>
          <w:color w:val="000000"/>
          <w:sz w:val="20"/>
          <w:szCs w:val="24"/>
        </w:rPr>
        <w:t>Flood and Earthquake</w:t>
      </w:r>
    </w:p>
    <w:p w:rsidR="00522428" w:rsidRDefault="00522428" w:rsidP="00522428">
      <w:pPr>
        <w:pStyle w:val="Bullet"/>
        <w:tabs>
          <w:tab w:val="left" w:pos="3154"/>
          <w:tab w:val="left" w:pos="4500"/>
          <w:tab w:val="left" w:pos="5310"/>
        </w:tabs>
        <w:ind w:left="2160" w:hanging="180"/>
        <w:rPr>
          <w:rFonts w:ascii="Arial" w:hAnsi="Arial" w:cs="Arial"/>
          <w:color w:val="000000"/>
          <w:sz w:val="20"/>
          <w:szCs w:val="24"/>
        </w:rPr>
      </w:pPr>
      <w:bookmarkStart w:id="16" w:name="_DV_M176"/>
      <w:bookmarkEnd w:id="16"/>
      <w:r>
        <w:rPr>
          <w:rFonts w:ascii="Arial" w:hAnsi="Arial" w:cs="Arial"/>
          <w:color w:val="000000"/>
          <w:sz w:val="20"/>
          <w:szCs w:val="24"/>
        </w:rPr>
        <w:t>Workmanship – Omission in, or faulty, inadequate or defective</w:t>
      </w:r>
    </w:p>
    <w:p w:rsidR="00522428" w:rsidRDefault="00522428" w:rsidP="00522428">
      <w:pPr>
        <w:pStyle w:val="Bullet"/>
        <w:tabs>
          <w:tab w:val="left" w:pos="3154"/>
          <w:tab w:val="left" w:pos="4500"/>
          <w:tab w:val="left" w:pos="5310"/>
        </w:tabs>
        <w:ind w:left="2160" w:hanging="180"/>
        <w:rPr>
          <w:rFonts w:ascii="Arial" w:hAnsi="Arial" w:cs="Arial"/>
          <w:color w:val="000000"/>
          <w:sz w:val="20"/>
          <w:szCs w:val="24"/>
        </w:rPr>
      </w:pPr>
    </w:p>
    <w:p w:rsidR="00522428" w:rsidRDefault="00522428" w:rsidP="00522428">
      <w:pPr>
        <w:ind w:left="1440" w:hanging="180"/>
        <w:rPr>
          <w:rFonts w:ascii="Arial" w:hAnsi="Arial" w:cs="Arial"/>
          <w:color w:val="000000"/>
          <w:sz w:val="20"/>
          <w:szCs w:val="24"/>
        </w:rPr>
      </w:pPr>
      <w:bookmarkStart w:id="17" w:name="_DV_M177"/>
      <w:bookmarkEnd w:id="17"/>
      <w:r>
        <w:rPr>
          <w:rFonts w:ascii="Arial" w:hAnsi="Arial" w:cs="Arial"/>
          <w:color w:val="000000"/>
          <w:szCs w:val="24"/>
        </w:rPr>
        <w:t>Policy Coverage Extensions (sub limits may apply):</w:t>
      </w:r>
    </w:p>
    <w:p w:rsidR="00522428" w:rsidRDefault="00522428" w:rsidP="00522428">
      <w:pPr>
        <w:pStyle w:val="Bullet"/>
        <w:tabs>
          <w:tab w:val="left" w:pos="3154"/>
          <w:tab w:val="left" w:pos="4500"/>
          <w:tab w:val="left" w:pos="5310"/>
        </w:tabs>
        <w:ind w:left="2160" w:hanging="180"/>
        <w:rPr>
          <w:rFonts w:ascii="Arial" w:hAnsi="Arial" w:cs="Arial"/>
          <w:color w:val="000000"/>
          <w:sz w:val="20"/>
          <w:szCs w:val="24"/>
        </w:rPr>
      </w:pPr>
      <w:bookmarkStart w:id="18" w:name="_DV_M178"/>
      <w:bookmarkEnd w:id="18"/>
      <w:r>
        <w:rPr>
          <w:rFonts w:ascii="Arial" w:hAnsi="Arial" w:cs="Arial"/>
          <w:color w:val="000000"/>
          <w:sz w:val="20"/>
          <w:szCs w:val="24"/>
        </w:rPr>
        <w:t>Fire Department Service Charges</w:t>
      </w:r>
    </w:p>
    <w:p w:rsidR="00522428" w:rsidRDefault="00522428" w:rsidP="00522428">
      <w:pPr>
        <w:pStyle w:val="Bullet"/>
        <w:tabs>
          <w:tab w:val="left" w:pos="3154"/>
          <w:tab w:val="left" w:pos="4500"/>
          <w:tab w:val="left" w:pos="5310"/>
        </w:tabs>
        <w:ind w:left="0" w:firstLine="0"/>
        <w:rPr>
          <w:rFonts w:ascii="Arial" w:hAnsi="Arial" w:cs="Arial"/>
          <w:color w:val="000000"/>
          <w:sz w:val="20"/>
          <w:szCs w:val="24"/>
        </w:rPr>
      </w:pPr>
      <w:bookmarkStart w:id="19" w:name="_DV_M179"/>
      <w:bookmarkEnd w:id="19"/>
      <w:r>
        <w:rPr>
          <w:rFonts w:ascii="Arial" w:hAnsi="Arial" w:cs="Arial"/>
          <w:color w:val="000000"/>
          <w:sz w:val="20"/>
          <w:szCs w:val="24"/>
        </w:rPr>
        <w:t xml:space="preserve">                                   Valuable Papers and Records</w:t>
      </w:r>
    </w:p>
    <w:p w:rsidR="00522428" w:rsidRDefault="00522428" w:rsidP="00522428">
      <w:pPr>
        <w:pStyle w:val="Bullet"/>
        <w:tabs>
          <w:tab w:val="left" w:pos="3154"/>
          <w:tab w:val="left" w:pos="4500"/>
          <w:tab w:val="left" w:pos="5310"/>
        </w:tabs>
        <w:ind w:left="0" w:firstLine="0"/>
        <w:rPr>
          <w:rFonts w:ascii="Arial" w:hAnsi="Arial" w:cs="Arial"/>
          <w:color w:val="000000"/>
          <w:sz w:val="20"/>
          <w:szCs w:val="24"/>
        </w:rPr>
      </w:pPr>
      <w:bookmarkStart w:id="20" w:name="_DV_M180"/>
      <w:bookmarkEnd w:id="20"/>
      <w:r>
        <w:rPr>
          <w:rFonts w:ascii="Arial" w:hAnsi="Arial" w:cs="Arial"/>
          <w:color w:val="000000"/>
          <w:sz w:val="20"/>
          <w:szCs w:val="24"/>
        </w:rPr>
        <w:t xml:space="preserve">                                   Trees, Shrubs and Plants</w:t>
      </w:r>
    </w:p>
    <w:p w:rsidR="00522428" w:rsidRDefault="00522428" w:rsidP="00522428">
      <w:pPr>
        <w:pStyle w:val="Bullet"/>
        <w:tabs>
          <w:tab w:val="left" w:pos="3154"/>
          <w:tab w:val="left" w:pos="4500"/>
          <w:tab w:val="left" w:pos="5310"/>
        </w:tabs>
        <w:ind w:left="0" w:firstLine="0"/>
        <w:rPr>
          <w:rFonts w:ascii="Arial" w:hAnsi="Arial" w:cs="Arial"/>
          <w:color w:val="000000"/>
          <w:sz w:val="20"/>
          <w:szCs w:val="24"/>
        </w:rPr>
      </w:pPr>
      <w:bookmarkStart w:id="21" w:name="_DV_M181"/>
      <w:bookmarkEnd w:id="21"/>
      <w:r>
        <w:rPr>
          <w:rFonts w:ascii="Arial" w:hAnsi="Arial" w:cs="Arial"/>
          <w:color w:val="000000"/>
          <w:sz w:val="20"/>
          <w:szCs w:val="24"/>
        </w:rPr>
        <w:t xml:space="preserve">                                   Debris Removal</w:t>
      </w:r>
    </w:p>
    <w:p w:rsidR="00522428" w:rsidRDefault="00522428" w:rsidP="00522428">
      <w:pPr>
        <w:pStyle w:val="Bullet"/>
        <w:tabs>
          <w:tab w:val="left" w:pos="3154"/>
          <w:tab w:val="left" w:pos="4500"/>
          <w:tab w:val="left" w:pos="5310"/>
        </w:tabs>
        <w:ind w:left="0" w:firstLine="0"/>
        <w:rPr>
          <w:rFonts w:ascii="Arial" w:hAnsi="Arial" w:cs="Arial"/>
          <w:color w:val="000000"/>
          <w:sz w:val="20"/>
          <w:szCs w:val="24"/>
        </w:rPr>
      </w:pPr>
      <w:bookmarkStart w:id="22" w:name="_DV_M182"/>
      <w:bookmarkEnd w:id="22"/>
      <w:r>
        <w:rPr>
          <w:rFonts w:ascii="Arial" w:hAnsi="Arial" w:cs="Arial"/>
          <w:color w:val="000000"/>
          <w:sz w:val="20"/>
          <w:szCs w:val="24"/>
        </w:rPr>
        <w:t xml:space="preserve">                                   Pollutant Clean Up and Removal</w:t>
      </w:r>
    </w:p>
    <w:p w:rsidR="00522428" w:rsidRDefault="00522428" w:rsidP="00522428">
      <w:pPr>
        <w:shd w:val="clear" w:color="auto" w:fill="FFFFFF"/>
        <w:spacing w:before="226" w:line="230" w:lineRule="exact"/>
        <w:ind w:left="720"/>
        <w:rPr>
          <w:rFonts w:ascii="Arial" w:hAnsi="Arial" w:cs="Arial"/>
          <w:color w:val="000000"/>
          <w:sz w:val="20"/>
          <w:szCs w:val="24"/>
        </w:rPr>
      </w:pPr>
      <w:bookmarkStart w:id="23" w:name="_DV_M183"/>
      <w:bookmarkEnd w:id="23"/>
      <w:r>
        <w:rPr>
          <w:rFonts w:ascii="Arial" w:hAnsi="Arial" w:cs="Arial"/>
          <w:color w:val="000000"/>
          <w:szCs w:val="24"/>
        </w:rPr>
        <w:t>This insurance will not include any coverage for tools or clothing of workers or any tools, equipment, protective fencing, scaffolding, and equipment owned, rented or used by Contractor and used in the performance of the Work, or work performed at off-site fabrication facilities.  Contractor shall waive any such rights of recovery from CDOT and/or the OCIP Policies.</w:t>
      </w:r>
    </w:p>
    <w:p w:rsidR="00522428" w:rsidRDefault="00522428" w:rsidP="00522428">
      <w:pPr>
        <w:tabs>
          <w:tab w:val="left" w:pos="810"/>
        </w:tabs>
        <w:ind w:left="900"/>
        <w:rPr>
          <w:rStyle w:val="DeltaViewDeletion"/>
          <w:strike w:val="0"/>
        </w:rPr>
      </w:pPr>
      <w:bookmarkStart w:id="24" w:name="_DV_M184"/>
      <w:bookmarkEnd w:id="24"/>
    </w:p>
    <w:p w:rsidR="00522428" w:rsidRDefault="00522428" w:rsidP="00522428">
      <w:pPr>
        <w:ind w:left="720" w:right="720"/>
        <w:rPr>
          <w:rStyle w:val="DeltaViewDeletion"/>
          <w:rFonts w:ascii="Arial" w:hAnsi="Arial" w:cs="Arial"/>
          <w:strike w:val="0"/>
          <w:szCs w:val="24"/>
        </w:rPr>
      </w:pPr>
      <w:r>
        <w:rPr>
          <w:rFonts w:ascii="Arial" w:hAnsi="Arial" w:cs="Arial"/>
        </w:rPr>
        <w:t>Contractor shall be responsible for repayment of any deductible for Property Damage up to $25,000 per occurrence to the extent loss costs (including allocated loss adjustment expense) payable are attributable to its acts, or the acts of its subcontractors, or any other entity or person for whom it may be responsible, with no increase in the Contract amount. Contractor may not seek contribution of this deductible from its subcontractors.</w:t>
      </w:r>
    </w:p>
    <w:p w:rsidR="00522428" w:rsidRDefault="00522428" w:rsidP="00522428">
      <w:pPr>
        <w:shd w:val="clear" w:color="auto" w:fill="FFFFFF"/>
        <w:spacing w:before="226" w:line="230" w:lineRule="exact"/>
        <w:ind w:left="720"/>
        <w:rPr>
          <w:color w:val="000000"/>
        </w:rPr>
      </w:pPr>
      <w:r>
        <w:rPr>
          <w:rFonts w:ascii="Arial" w:hAnsi="Arial" w:cs="Arial"/>
          <w:color w:val="000000"/>
          <w:szCs w:val="24"/>
        </w:rPr>
        <w:t>NOTE: The Builders Risk policy terms vary from policy to policy, and such insurance provided by the CDOT will be subject to such limits of liability, exclusions and deductibles as CDOT may negotiate in its discretion.  Contractor is advised to consult the terms of the policy to ascertain its terms.</w:t>
      </w:r>
    </w:p>
    <w:p w:rsidR="00522428" w:rsidRDefault="00522428" w:rsidP="00522428">
      <w:pPr>
        <w:ind w:left="360" w:hanging="360"/>
        <w:rPr>
          <w:rFonts w:ascii="Arial" w:hAnsi="Arial" w:cs="Arial"/>
          <w:szCs w:val="20"/>
        </w:rPr>
      </w:pPr>
    </w:p>
    <w:p w:rsidR="00522428" w:rsidRDefault="00522428" w:rsidP="00070968">
      <w:pPr>
        <w:ind w:left="360"/>
        <w:rPr>
          <w:rFonts w:ascii="Arial" w:hAnsi="Arial" w:cs="Arial"/>
        </w:rPr>
      </w:pPr>
      <w:r>
        <w:rPr>
          <w:rFonts w:ascii="Arial" w:hAnsi="Arial" w:cs="Arial"/>
        </w:rPr>
        <w:t>Contractor’s Pollution Liability.</w:t>
      </w:r>
    </w:p>
    <w:p w:rsidR="00522428" w:rsidRDefault="00522428" w:rsidP="00522428">
      <w:pPr>
        <w:ind w:left="720"/>
        <w:jc w:val="both"/>
        <w:rPr>
          <w:rFonts w:ascii="Arial" w:hAnsi="Arial" w:cs="Arial"/>
          <w:szCs w:val="24"/>
        </w:rPr>
      </w:pPr>
      <w:r>
        <w:rPr>
          <w:rFonts w:ascii="Arial" w:hAnsi="Arial" w:cs="Arial"/>
        </w:rPr>
        <w:t>CDOT will procure, pay for and maintain Contractor’s Pollution Liability insurance in the following limits:</w:t>
      </w:r>
    </w:p>
    <w:p w:rsidR="00522428" w:rsidRDefault="00522428" w:rsidP="00522428">
      <w:pPr>
        <w:ind w:left="1080"/>
        <w:jc w:val="both"/>
        <w:rPr>
          <w:rFonts w:ascii="Arial" w:hAnsi="Arial" w:cs="Arial"/>
          <w:szCs w:val="24"/>
        </w:rPr>
      </w:pPr>
      <w:bookmarkStart w:id="25" w:name="_DV_M145"/>
      <w:bookmarkEnd w:id="25"/>
      <w:r>
        <w:rPr>
          <w:rFonts w:ascii="Arial" w:hAnsi="Arial" w:cs="Arial"/>
          <w:szCs w:val="24"/>
        </w:rPr>
        <w:t xml:space="preserve">$ </w:t>
      </w:r>
      <w:bookmarkStart w:id="26" w:name="_DV_C21"/>
      <w:r>
        <w:rPr>
          <w:rFonts w:ascii="Arial" w:hAnsi="Arial" w:cs="Arial"/>
          <w:szCs w:val="24"/>
        </w:rPr>
        <w:t>25</w:t>
      </w:r>
      <w:bookmarkStart w:id="27" w:name="_DV_M146"/>
      <w:bookmarkEnd w:id="26"/>
      <w:bookmarkEnd w:id="27"/>
      <w:r>
        <w:rPr>
          <w:rFonts w:ascii="Arial" w:hAnsi="Arial" w:cs="Arial"/>
          <w:szCs w:val="24"/>
        </w:rPr>
        <w:t>,000,000</w:t>
      </w:r>
      <w:r>
        <w:rPr>
          <w:rFonts w:ascii="Arial" w:hAnsi="Arial" w:cs="Arial"/>
          <w:color w:val="FF0000"/>
          <w:szCs w:val="24"/>
        </w:rPr>
        <w:tab/>
      </w:r>
      <w:r>
        <w:rPr>
          <w:rFonts w:ascii="Arial" w:hAnsi="Arial" w:cs="Arial"/>
          <w:szCs w:val="24"/>
        </w:rPr>
        <w:tab/>
      </w:r>
      <w:proofErr w:type="gramStart"/>
      <w:r>
        <w:rPr>
          <w:rFonts w:ascii="Arial" w:hAnsi="Arial" w:cs="Arial"/>
          <w:szCs w:val="24"/>
        </w:rPr>
        <w:t>Per</w:t>
      </w:r>
      <w:proofErr w:type="gramEnd"/>
      <w:r>
        <w:rPr>
          <w:rFonts w:ascii="Arial" w:hAnsi="Arial" w:cs="Arial"/>
          <w:szCs w:val="24"/>
        </w:rPr>
        <w:t xml:space="preserve"> Claim </w:t>
      </w:r>
    </w:p>
    <w:p w:rsidR="00522428" w:rsidRDefault="00522428" w:rsidP="00522428">
      <w:pPr>
        <w:ind w:left="1080"/>
        <w:jc w:val="both"/>
        <w:rPr>
          <w:rFonts w:ascii="Arial" w:hAnsi="Arial" w:cs="Arial"/>
          <w:szCs w:val="24"/>
        </w:rPr>
      </w:pPr>
      <w:bookmarkStart w:id="28" w:name="_DV_M147"/>
      <w:bookmarkEnd w:id="28"/>
      <w:r>
        <w:rPr>
          <w:rFonts w:ascii="Arial" w:hAnsi="Arial" w:cs="Arial"/>
          <w:szCs w:val="24"/>
        </w:rPr>
        <w:t xml:space="preserve">$ </w:t>
      </w:r>
      <w:bookmarkStart w:id="29" w:name="_DV_M148"/>
      <w:bookmarkEnd w:id="29"/>
      <w:r>
        <w:rPr>
          <w:rFonts w:ascii="Arial" w:hAnsi="Arial" w:cs="Arial"/>
          <w:szCs w:val="24"/>
        </w:rPr>
        <w:t>25,000,000</w:t>
      </w:r>
      <w:r>
        <w:rPr>
          <w:rFonts w:ascii="Arial" w:hAnsi="Arial" w:cs="Arial"/>
          <w:szCs w:val="24"/>
        </w:rPr>
        <w:tab/>
      </w:r>
      <w:r>
        <w:rPr>
          <w:rFonts w:ascii="Arial" w:hAnsi="Arial" w:cs="Arial"/>
          <w:szCs w:val="24"/>
        </w:rPr>
        <w:tab/>
        <w:t>Aggregate</w:t>
      </w:r>
    </w:p>
    <w:p w:rsidR="00522428" w:rsidRDefault="00522428" w:rsidP="00522428">
      <w:pPr>
        <w:ind w:left="2160" w:firstLine="720"/>
        <w:jc w:val="both"/>
        <w:rPr>
          <w:rFonts w:ascii="Arial" w:hAnsi="Arial" w:cs="Arial"/>
          <w:color w:val="000000"/>
          <w:szCs w:val="24"/>
        </w:rPr>
      </w:pPr>
      <w:bookmarkStart w:id="30" w:name="_DV_M149"/>
      <w:bookmarkEnd w:id="30"/>
      <w:r>
        <w:rPr>
          <w:rFonts w:ascii="Arial" w:hAnsi="Arial" w:cs="Arial"/>
          <w:szCs w:val="24"/>
        </w:rPr>
        <w:t>Claims Expenses</w:t>
      </w:r>
      <w:r>
        <w:rPr>
          <w:rFonts w:ascii="Arial" w:hAnsi="Arial" w:cs="Arial"/>
          <w:color w:val="000000"/>
          <w:szCs w:val="24"/>
        </w:rPr>
        <w:t xml:space="preserve"> (including Defense Costs) within limits.</w:t>
      </w:r>
    </w:p>
    <w:p w:rsidR="00522428" w:rsidRDefault="00522428" w:rsidP="00522428">
      <w:pPr>
        <w:jc w:val="both"/>
        <w:rPr>
          <w:rFonts w:ascii="Arial" w:hAnsi="Arial" w:cs="Arial"/>
          <w:color w:val="000000"/>
          <w:szCs w:val="24"/>
        </w:rPr>
      </w:pPr>
    </w:p>
    <w:p w:rsidR="00522428" w:rsidRDefault="00522428" w:rsidP="00522428">
      <w:pPr>
        <w:ind w:left="720"/>
        <w:jc w:val="both"/>
        <w:rPr>
          <w:rFonts w:ascii="Arial" w:hAnsi="Arial" w:cs="Arial"/>
          <w:color w:val="000000"/>
          <w:szCs w:val="24"/>
        </w:rPr>
      </w:pPr>
      <w:bookmarkStart w:id="31" w:name="_DV_M150"/>
      <w:bookmarkEnd w:id="31"/>
      <w:r>
        <w:rPr>
          <w:rFonts w:ascii="Arial" w:hAnsi="Arial" w:cs="Arial"/>
          <w:color w:val="000000"/>
          <w:szCs w:val="24"/>
        </w:rPr>
        <w:t>Coverage will include Bodily Injury or Property Damage from a pollution event as defined within the policy form resulting from covered operations or completed operations of the Work performed at the Project Site.</w:t>
      </w:r>
    </w:p>
    <w:p w:rsidR="00522428" w:rsidRDefault="00522428" w:rsidP="00522428">
      <w:pPr>
        <w:ind w:left="720"/>
        <w:jc w:val="both"/>
        <w:rPr>
          <w:rFonts w:ascii="Arial" w:hAnsi="Arial" w:cs="Arial"/>
          <w:color w:val="000000"/>
          <w:szCs w:val="24"/>
        </w:rPr>
      </w:pPr>
    </w:p>
    <w:p w:rsidR="00522428" w:rsidRPr="00EF3856" w:rsidRDefault="00522428" w:rsidP="00522428">
      <w:pPr>
        <w:ind w:left="720" w:right="720"/>
        <w:rPr>
          <w:rFonts w:ascii="Arial" w:hAnsi="Arial" w:cs="Arial"/>
          <w:color w:val="0070C0"/>
          <w:szCs w:val="20"/>
        </w:rPr>
      </w:pPr>
      <w:r>
        <w:rPr>
          <w:rFonts w:ascii="Arial" w:hAnsi="Arial" w:cs="Arial"/>
        </w:rPr>
        <w:t>Contractor shall be responsible for repayment of any deductible associated with the activities of the Contractor or their subcontractors up to $25,000 per occurrence to the extent loss costs (including allocated loss adjustment expense) payable are attributable to its acts, or the acts of its Project Contractors and subcontractors, or any other entity or person for whom it may be responsible, with no increase in the Contract amount.</w:t>
      </w:r>
      <w:r w:rsidR="00EF3856">
        <w:rPr>
          <w:rFonts w:ascii="Arial" w:hAnsi="Arial" w:cs="Arial"/>
        </w:rPr>
        <w:t xml:space="preserve">  </w:t>
      </w:r>
      <w:r w:rsidR="00EF3856" w:rsidRPr="00EF3856">
        <w:rPr>
          <w:rFonts w:ascii="Arial" w:hAnsi="Arial" w:cs="Arial"/>
          <w:color w:val="0070C0"/>
        </w:rPr>
        <w:t xml:space="preserve">Deductible payment shall be to CDOT Risk Management and shall be within 30? </w:t>
      </w:r>
      <w:proofErr w:type="gramStart"/>
      <w:r w:rsidR="00EF3856">
        <w:rPr>
          <w:rFonts w:ascii="Arial" w:hAnsi="Arial" w:cs="Arial"/>
          <w:color w:val="0070C0"/>
        </w:rPr>
        <w:t>d</w:t>
      </w:r>
      <w:r w:rsidR="00EF3856" w:rsidRPr="00EF3856">
        <w:rPr>
          <w:rFonts w:ascii="Arial" w:hAnsi="Arial" w:cs="Arial"/>
          <w:color w:val="0070C0"/>
        </w:rPr>
        <w:t>ays</w:t>
      </w:r>
      <w:proofErr w:type="gramEnd"/>
      <w:r w:rsidR="00EF3856" w:rsidRPr="00EF3856">
        <w:rPr>
          <w:rFonts w:ascii="Arial" w:hAnsi="Arial" w:cs="Arial"/>
          <w:color w:val="0070C0"/>
        </w:rPr>
        <w:t xml:space="preserve"> of the claim being filed</w:t>
      </w:r>
      <w:r w:rsidR="00EF3856">
        <w:rPr>
          <w:rFonts w:ascii="Arial" w:hAnsi="Arial" w:cs="Arial"/>
          <w:color w:val="0070C0"/>
        </w:rPr>
        <w:t>.</w:t>
      </w:r>
    </w:p>
    <w:p w:rsidR="00EA742F" w:rsidRDefault="00EA742F" w:rsidP="00EA742F">
      <w:pPr>
        <w:rPr>
          <w:rFonts w:ascii="Arial" w:hAnsi="Arial" w:cs="Arial"/>
        </w:rPr>
      </w:pPr>
    </w:p>
    <w:p w:rsidR="00BB771D" w:rsidRDefault="00BB771D" w:rsidP="00EA742F">
      <w:pPr>
        <w:rPr>
          <w:rFonts w:ascii="Arial" w:hAnsi="Arial" w:cs="Arial"/>
        </w:rPr>
      </w:pPr>
    </w:p>
    <w:p w:rsidR="00BB771D" w:rsidRDefault="00BB771D" w:rsidP="00EA742F">
      <w:pPr>
        <w:rPr>
          <w:rFonts w:ascii="Arial" w:hAnsi="Arial" w:cs="Arial"/>
        </w:rPr>
      </w:pPr>
    </w:p>
    <w:p w:rsidR="00BB771D" w:rsidRPr="00EF3856" w:rsidRDefault="00B83D43">
      <w:pPr>
        <w:rPr>
          <w:color w:val="C00000"/>
        </w:rPr>
      </w:pPr>
      <w:r>
        <w:rPr>
          <w:rFonts w:ascii="Arial" w:hAnsi="Arial" w:cs="Arial"/>
          <w:color w:val="C00000"/>
        </w:rPr>
        <w:t xml:space="preserve"> </w:t>
      </w:r>
      <w:r w:rsidR="00BB771D" w:rsidRPr="00EF3856">
        <w:rPr>
          <w:rFonts w:ascii="Arial" w:hAnsi="Arial" w:cs="Arial"/>
          <w:color w:val="C00000"/>
        </w:rPr>
        <w:t>*******************************************************************************************************</w:t>
      </w:r>
    </w:p>
    <w:p w:rsidR="00BB771D" w:rsidRPr="00EF3856" w:rsidRDefault="00BB771D" w:rsidP="00EA742F">
      <w:pPr>
        <w:rPr>
          <w:rFonts w:ascii="Arial" w:hAnsi="Arial" w:cs="Arial"/>
          <w:color w:val="C00000"/>
        </w:rPr>
      </w:pPr>
      <w:r w:rsidRPr="00EF3856">
        <w:rPr>
          <w:rFonts w:ascii="Arial" w:hAnsi="Arial" w:cs="Arial"/>
          <w:color w:val="C00000"/>
        </w:rPr>
        <w:t>INSTRUCTIONS TO DESIGNERS (delete instructions and symbols from final draft)</w:t>
      </w:r>
    </w:p>
    <w:p w:rsidR="00BB771D" w:rsidRPr="00EF3856" w:rsidRDefault="00563601" w:rsidP="00EA742F">
      <w:pPr>
        <w:rPr>
          <w:rFonts w:ascii="Arial" w:hAnsi="Arial" w:cs="Arial"/>
          <w:color w:val="C00000"/>
        </w:rPr>
      </w:pPr>
      <w:r>
        <w:rPr>
          <w:rFonts w:ascii="Arial" w:hAnsi="Arial" w:cs="Arial"/>
          <w:color w:val="C00000"/>
        </w:rPr>
        <w:t>[[</w:t>
      </w:r>
      <w:r w:rsidR="00BB771D" w:rsidRPr="00EF3856">
        <w:rPr>
          <w:rFonts w:ascii="Arial" w:hAnsi="Arial" w:cs="Arial"/>
          <w:color w:val="C00000"/>
        </w:rPr>
        <w:t xml:space="preserve">This spec will become </w:t>
      </w:r>
      <w:r>
        <w:rPr>
          <w:rFonts w:ascii="Arial" w:hAnsi="Arial" w:cs="Arial"/>
          <w:color w:val="C00000"/>
        </w:rPr>
        <w:t>three</w:t>
      </w:r>
      <w:r w:rsidR="00BB771D" w:rsidRPr="00EF3856">
        <w:rPr>
          <w:rFonts w:ascii="Arial" w:hAnsi="Arial" w:cs="Arial"/>
          <w:color w:val="C00000"/>
        </w:rPr>
        <w:t xml:space="preserve"> specifications, one for Builders Risk and one for Contractor’s Pollution Liability</w:t>
      </w:r>
      <w:r>
        <w:rPr>
          <w:rFonts w:ascii="Arial" w:hAnsi="Arial" w:cs="Arial"/>
          <w:color w:val="C00000"/>
        </w:rPr>
        <w:t xml:space="preserve"> and one combined</w:t>
      </w:r>
      <w:r w:rsidR="00BB771D" w:rsidRPr="00EF3856">
        <w:rPr>
          <w:rFonts w:ascii="Arial" w:hAnsi="Arial" w:cs="Arial"/>
          <w:color w:val="C00000"/>
        </w:rPr>
        <w:t>.]]</w:t>
      </w:r>
    </w:p>
    <w:p w:rsidR="00BB771D" w:rsidRPr="00EF3856" w:rsidRDefault="00BB771D" w:rsidP="00EA742F">
      <w:pPr>
        <w:rPr>
          <w:rFonts w:ascii="Arial" w:hAnsi="Arial" w:cs="Arial"/>
          <w:color w:val="C00000"/>
        </w:rPr>
      </w:pPr>
      <w:r w:rsidRPr="00EF3856">
        <w:rPr>
          <w:rFonts w:ascii="Arial" w:hAnsi="Arial" w:cs="Arial"/>
          <w:color w:val="C00000"/>
        </w:rPr>
        <w:t xml:space="preserve">Use this specification [[Builders Risk]] when the project has large or unique vertical construction such as bridge, walls, pedestrian </w:t>
      </w:r>
      <w:r w:rsidR="00EF3856">
        <w:rPr>
          <w:rFonts w:ascii="Arial" w:hAnsi="Arial" w:cs="Arial"/>
          <w:color w:val="C00000"/>
        </w:rPr>
        <w:t>structures, tunnels,</w:t>
      </w:r>
      <w:r w:rsidRPr="00EF3856">
        <w:rPr>
          <w:rFonts w:ascii="Arial" w:hAnsi="Arial" w:cs="Arial"/>
          <w:color w:val="C00000"/>
        </w:rPr>
        <w:t xml:space="preserve"> etc.  Coordinate the use of this spec with the CDOT Risk Manager.</w:t>
      </w:r>
    </w:p>
    <w:p w:rsidR="00563601" w:rsidRDefault="00BB771D" w:rsidP="00EA742F">
      <w:pPr>
        <w:rPr>
          <w:rFonts w:ascii="Arial" w:hAnsi="Arial" w:cs="Arial"/>
          <w:color w:val="C00000"/>
        </w:rPr>
      </w:pPr>
      <w:r w:rsidRPr="00EF3856">
        <w:rPr>
          <w:rFonts w:ascii="Arial" w:hAnsi="Arial" w:cs="Arial"/>
          <w:color w:val="C00000"/>
        </w:rPr>
        <w:t>Use this specification [[Contractor’s Pollution Liability]] when the project has known environmental concerns.  Coordinate the use of this spec with the CDOT Risk Manager.</w:t>
      </w:r>
    </w:p>
    <w:p w:rsidR="00BB771D" w:rsidRPr="00EF3856" w:rsidRDefault="00563601" w:rsidP="00EA742F">
      <w:pPr>
        <w:rPr>
          <w:rFonts w:ascii="Arial" w:hAnsi="Arial" w:cs="Arial"/>
          <w:color w:val="C00000"/>
        </w:rPr>
      </w:pPr>
      <w:r>
        <w:rPr>
          <w:rFonts w:ascii="Arial" w:hAnsi="Arial" w:cs="Arial"/>
          <w:color w:val="C00000"/>
        </w:rPr>
        <w:t>See Design Bulletin</w:t>
      </w:r>
      <w:r w:rsidR="000F1C44">
        <w:rPr>
          <w:rFonts w:ascii="Arial" w:hAnsi="Arial" w:cs="Arial"/>
          <w:color w:val="C00000"/>
        </w:rPr>
        <w:t xml:space="preserve"> 2013-?</w:t>
      </w:r>
      <w:bookmarkStart w:id="32" w:name="_GoBack"/>
      <w:bookmarkEnd w:id="32"/>
      <w:r>
        <w:rPr>
          <w:rFonts w:ascii="Arial" w:hAnsi="Arial" w:cs="Arial"/>
          <w:color w:val="C00000"/>
        </w:rPr>
        <w:t xml:space="preserve"> </w:t>
      </w:r>
      <w:r w:rsidR="00EF3856" w:rsidRPr="00EF3856">
        <w:rPr>
          <w:rFonts w:ascii="Arial" w:hAnsi="Arial" w:cs="Arial"/>
          <w:color w:val="C00000"/>
        </w:rPr>
        <w:t xml:space="preserve">  </w:t>
      </w:r>
      <w:r w:rsidR="00BB771D" w:rsidRPr="00EF3856">
        <w:rPr>
          <w:rFonts w:ascii="Arial" w:hAnsi="Arial" w:cs="Arial"/>
          <w:color w:val="C00000"/>
        </w:rPr>
        <w:t xml:space="preserve"> </w:t>
      </w:r>
    </w:p>
    <w:p w:rsidR="00BB771D" w:rsidRPr="00EA742F" w:rsidRDefault="00BB771D" w:rsidP="00EA742F">
      <w:pPr>
        <w:rPr>
          <w:rFonts w:ascii="Arial" w:hAnsi="Arial" w:cs="Arial"/>
        </w:rPr>
      </w:pPr>
    </w:p>
    <w:sectPr w:rsidR="00BB771D" w:rsidRPr="00EA7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42F"/>
    <w:rsid w:val="00070968"/>
    <w:rsid w:val="00094E7A"/>
    <w:rsid w:val="000F1C44"/>
    <w:rsid w:val="00143AD2"/>
    <w:rsid w:val="00522428"/>
    <w:rsid w:val="00563601"/>
    <w:rsid w:val="00B83D43"/>
    <w:rsid w:val="00BB771D"/>
    <w:rsid w:val="00C9235F"/>
    <w:rsid w:val="00EA742F"/>
    <w:rsid w:val="00EF3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522428"/>
    <w:pPr>
      <w:tabs>
        <w:tab w:val="num" w:pos="3154"/>
      </w:tabs>
      <w:autoSpaceDE w:val="0"/>
      <w:autoSpaceDN w:val="0"/>
      <w:adjustRightInd w:val="0"/>
      <w:spacing w:after="0" w:line="240" w:lineRule="auto"/>
      <w:ind w:left="3154" w:hanging="360"/>
    </w:pPr>
    <w:rPr>
      <w:rFonts w:ascii="Garamond" w:eastAsia="Times New Roman" w:hAnsi="Garamond" w:cs="Times New Roman"/>
      <w:szCs w:val="20"/>
    </w:rPr>
  </w:style>
  <w:style w:type="character" w:customStyle="1" w:styleId="DeltaViewDeletion">
    <w:name w:val="DeltaView Deletion"/>
    <w:rsid w:val="00522428"/>
    <w:rPr>
      <w:strike/>
      <w:color w:val="FF0000"/>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522428"/>
    <w:pPr>
      <w:tabs>
        <w:tab w:val="num" w:pos="3154"/>
      </w:tabs>
      <w:autoSpaceDE w:val="0"/>
      <w:autoSpaceDN w:val="0"/>
      <w:adjustRightInd w:val="0"/>
      <w:spacing w:after="0" w:line="240" w:lineRule="auto"/>
      <w:ind w:left="3154" w:hanging="360"/>
    </w:pPr>
    <w:rPr>
      <w:rFonts w:ascii="Garamond" w:eastAsia="Times New Roman" w:hAnsi="Garamond" w:cs="Times New Roman"/>
      <w:szCs w:val="20"/>
    </w:rPr>
  </w:style>
  <w:style w:type="character" w:customStyle="1" w:styleId="DeltaViewDeletion">
    <w:name w:val="DeltaView Deletion"/>
    <w:rsid w:val="00522428"/>
    <w:rPr>
      <w:strike/>
      <w:color w:val="FF000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0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Wassenaar, Jeffrey</dc:creator>
  <cp:lastModifiedBy>Wassenaar, Jeffrey</cp:lastModifiedBy>
  <cp:revision>9</cp:revision>
  <cp:lastPrinted>2013-04-26T14:56:00Z</cp:lastPrinted>
  <dcterms:created xsi:type="dcterms:W3CDTF">2013-03-08T21:27:00Z</dcterms:created>
  <dcterms:modified xsi:type="dcterms:W3CDTF">2013-04-26T14:59:00Z</dcterms:modified>
</cp:coreProperties>
</file>